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w:t>
      </w:r>
      <w:r>
        <w:rPr>
          <w:rFonts w:hint="eastAsia" w:cs="Times New Roman" w:asciiTheme="majorEastAsia" w:hAnsiTheme="majorEastAsia" w:eastAsiaTheme="majorEastAsia"/>
          <w:b/>
          <w:sz w:val="44"/>
          <w:szCs w:val="44"/>
          <w:lang w:val="en-US" w:eastAsia="zh-CN"/>
        </w:rPr>
        <w:t>国土资源局</w:t>
      </w:r>
      <w:r>
        <w:rPr>
          <w:rFonts w:cs="Times New Roman" w:asciiTheme="majorEastAsia" w:hAnsiTheme="majorEastAsia" w:eastAsiaTheme="majorEastAsia"/>
          <w:b/>
          <w:sz w:val="44"/>
          <w:szCs w:val="44"/>
        </w:rPr>
        <w:t>201</w:t>
      </w:r>
      <w:r>
        <w:rPr>
          <w:rFonts w:hint="eastAsia" w:cs="Times New Roman" w:asciiTheme="majorEastAsia" w:hAnsiTheme="majorEastAsia" w:eastAsiaTheme="majorEastAsia"/>
          <w:b/>
          <w:sz w:val="44"/>
          <w:szCs w:val="44"/>
        </w:rPr>
        <w:t>8</w:t>
      </w:r>
      <w:r>
        <w:rPr>
          <w:rFonts w:cs="Times New Roman" w:asciiTheme="majorEastAsia" w:hAnsiTheme="majorEastAsia" w:eastAsiaTheme="majorEastAsia"/>
          <w:b/>
          <w:sz w:val="44"/>
          <w:szCs w:val="44"/>
        </w:rPr>
        <w:t>年部门预算信息公开</w:t>
      </w:r>
    </w:p>
    <w:p>
      <w:pPr>
        <w:ind w:firstLine="883" w:firstLineChars="200"/>
        <w:jc w:val="center"/>
        <w:rPr>
          <w:rFonts w:hint="eastAsia" w:cs="Times New Roman" w:asciiTheme="majorEastAsia" w:hAnsiTheme="majorEastAsia" w:eastAsiaTheme="majorEastAsia"/>
          <w:b/>
          <w:sz w:val="44"/>
          <w:szCs w:val="44"/>
          <w:lang w:val="en-US" w:eastAsia="zh-CN"/>
        </w:rPr>
      </w:pPr>
      <w:r>
        <w:rPr>
          <w:rFonts w:hint="eastAsia" w:cs="Times New Roman" w:asciiTheme="majorEastAsia" w:hAnsiTheme="majorEastAsia" w:eastAsiaTheme="majorEastAsia"/>
          <w:b/>
          <w:sz w:val="44"/>
          <w:szCs w:val="44"/>
          <w:lang w:val="en-US" w:eastAsia="zh-CN"/>
        </w:rPr>
        <w:t xml:space="preserve"> </w:t>
      </w: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w:t>
      </w:r>
      <w:r>
        <w:rPr>
          <w:rFonts w:hint="eastAsia" w:ascii="仿宋" w:hAnsi="仿宋" w:eastAsia="仿宋" w:cs="Times New Roman"/>
          <w:sz w:val="32"/>
          <w:szCs w:val="32"/>
          <w:lang w:val="en-US" w:eastAsia="zh-CN"/>
        </w:rPr>
        <w:t>国土资源局</w:t>
      </w:r>
      <w:r>
        <w:rPr>
          <w:rFonts w:ascii="仿宋" w:hAnsi="仿宋" w:eastAsia="仿宋" w:cs="Times New Roman"/>
          <w:sz w:val="32"/>
          <w:szCs w:val="32"/>
        </w:rPr>
        <w:t>201</w:t>
      </w:r>
      <w:r>
        <w:rPr>
          <w:rFonts w:hint="eastAsia" w:ascii="仿宋" w:hAnsi="仿宋" w:eastAsia="仿宋" w:cs="Times New Roman"/>
          <w:sz w:val="32"/>
          <w:szCs w:val="32"/>
        </w:rPr>
        <w:t>8</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hint="eastAsia" w:ascii="仿宋" w:hAnsi="仿宋" w:eastAsia="仿宋" w:cs="仿宋"/>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（一）、</w:t>
      </w:r>
      <w:r>
        <w:rPr>
          <w:rFonts w:hint="eastAsia" w:ascii="仿宋" w:hAnsi="仿宋" w:eastAsia="仿宋" w:cs="仿宋"/>
          <w:sz w:val="32"/>
          <w:szCs w:val="32"/>
        </w:rPr>
        <w:t>负责县域内土地管理法律、法规、地质矿产资源管理法律、法规的宣传、贯彻、实施。</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（二）、</w:t>
      </w:r>
      <w:r>
        <w:rPr>
          <w:rFonts w:hint="eastAsia" w:ascii="仿宋" w:hAnsi="仿宋" w:eastAsia="仿宋" w:cs="仿宋"/>
          <w:sz w:val="32"/>
          <w:szCs w:val="32"/>
        </w:rPr>
        <w:t>负责县域内土地利用总体规划、土地利用和保护、地籍管理及土地权属登记、发证管理工作。</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（三）、</w:t>
      </w:r>
      <w:r>
        <w:rPr>
          <w:rFonts w:hint="eastAsia" w:ascii="仿宋" w:hAnsi="仿宋" w:eastAsia="仿宋" w:cs="仿宋"/>
          <w:sz w:val="32"/>
          <w:szCs w:val="32"/>
        </w:rPr>
        <w:t>负责县域内建设用地的审核、呈报及管理工作。</w:t>
      </w:r>
      <w:r>
        <w:rPr>
          <w:rFonts w:hint="eastAsia" w:ascii="仿宋" w:hAnsi="仿宋" w:eastAsia="仿宋" w:cs="仿宋"/>
          <w:sz w:val="32"/>
          <w:szCs w:val="32"/>
          <w:lang w:val="en-US" w:eastAsia="zh-CN"/>
        </w:rPr>
        <w:t xml:space="preserve"> </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（四）、</w:t>
      </w:r>
      <w:r>
        <w:rPr>
          <w:rFonts w:hint="eastAsia" w:ascii="仿宋" w:hAnsi="仿宋" w:eastAsia="仿宋" w:cs="仿宋"/>
          <w:sz w:val="32"/>
          <w:szCs w:val="32"/>
        </w:rPr>
        <w:t>负责县域内土地执法监察和违法用地查处工作。</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（五）、</w:t>
      </w:r>
      <w:r>
        <w:rPr>
          <w:rFonts w:hint="eastAsia" w:ascii="仿宋" w:hAnsi="仿宋" w:eastAsia="仿宋" w:cs="仿宋"/>
          <w:sz w:val="32"/>
          <w:szCs w:val="32"/>
        </w:rPr>
        <w:t>负责县域内地质矿产资源管理工作。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负责县域内土地二、三级市场管理工作。</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jc w:val="left"/>
        <w:outlineLvl w:val="0"/>
        <w:rPr>
          <w:rFonts w:hint="eastAsia" w:ascii="仿宋" w:hAnsi="仿宋" w:eastAsia="仿宋" w:cs="仿宋"/>
          <w:sz w:val="32"/>
          <w:szCs w:val="24"/>
        </w:rPr>
      </w:pPr>
    </w:p>
    <w:p>
      <w:pPr>
        <w:jc w:val="center"/>
        <w:outlineLvl w:val="0"/>
        <w:rPr>
          <w:rFonts w:hint="eastAsia" w:ascii="仿宋" w:hAnsi="仿宋" w:eastAsia="仿宋" w:cs="仿宋"/>
          <w:sz w:val="32"/>
          <w:szCs w:val="24"/>
        </w:rPr>
      </w:pPr>
      <w:r>
        <w:rPr>
          <w:rFonts w:hint="eastAsia" w:ascii="仿宋" w:hAnsi="仿宋" w:eastAsia="仿宋" w:cs="仿宋"/>
          <w:sz w:val="32"/>
          <w:szCs w:val="24"/>
        </w:rPr>
        <w:t>部门机构设置情况</w:t>
      </w:r>
    </w:p>
    <w:tbl>
      <w:tblPr>
        <w:tblStyle w:val="7"/>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单位名称</w:t>
            </w:r>
          </w:p>
        </w:tc>
        <w:tc>
          <w:tcPr>
            <w:tcW w:w="1134" w:type="dxa"/>
            <w:vMerge w:val="restart"/>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单位性质</w:t>
            </w:r>
          </w:p>
        </w:tc>
        <w:tc>
          <w:tcPr>
            <w:tcW w:w="1276" w:type="dxa"/>
            <w:vMerge w:val="restart"/>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单位规格</w:t>
            </w:r>
          </w:p>
        </w:tc>
        <w:tc>
          <w:tcPr>
            <w:tcW w:w="2902" w:type="dxa"/>
            <w:vMerge w:val="restart"/>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pPr>
              <w:spacing w:line="300" w:lineRule="exact"/>
              <w:jc w:val="left"/>
              <w:outlineLvl w:val="0"/>
              <w:rPr>
                <w:rFonts w:hint="eastAsia" w:ascii="仿宋" w:hAnsi="仿宋" w:eastAsia="仿宋" w:cs="仿宋"/>
                <w:szCs w:val="24"/>
              </w:rPr>
            </w:pPr>
          </w:p>
        </w:tc>
        <w:tc>
          <w:tcPr>
            <w:tcW w:w="1134" w:type="dxa"/>
            <w:vMerge w:val="continue"/>
            <w:shd w:val="clear" w:color="auto" w:fill="auto"/>
            <w:vAlign w:val="center"/>
          </w:tcPr>
          <w:p>
            <w:pPr>
              <w:spacing w:line="300" w:lineRule="exact"/>
              <w:jc w:val="left"/>
              <w:outlineLvl w:val="0"/>
              <w:rPr>
                <w:rFonts w:hint="eastAsia" w:ascii="仿宋" w:hAnsi="仿宋" w:eastAsia="仿宋" w:cs="仿宋"/>
                <w:szCs w:val="24"/>
              </w:rPr>
            </w:pPr>
          </w:p>
        </w:tc>
        <w:tc>
          <w:tcPr>
            <w:tcW w:w="1276" w:type="dxa"/>
            <w:vMerge w:val="continue"/>
            <w:shd w:val="clear" w:color="auto" w:fill="auto"/>
            <w:vAlign w:val="center"/>
          </w:tcPr>
          <w:p>
            <w:pPr>
              <w:spacing w:line="300" w:lineRule="exact"/>
              <w:jc w:val="center"/>
              <w:outlineLvl w:val="0"/>
              <w:rPr>
                <w:rFonts w:hint="eastAsia" w:ascii="仿宋" w:hAnsi="仿宋" w:eastAsia="仿宋" w:cs="仿宋"/>
                <w:szCs w:val="24"/>
              </w:rPr>
            </w:pPr>
          </w:p>
        </w:tc>
        <w:tc>
          <w:tcPr>
            <w:tcW w:w="2902" w:type="dxa"/>
            <w:vMerge w:val="continue"/>
            <w:shd w:val="clear" w:color="auto" w:fill="auto"/>
            <w:vAlign w:val="center"/>
          </w:tcPr>
          <w:p>
            <w:pPr>
              <w:spacing w:line="300" w:lineRule="exact"/>
              <w:jc w:val="left"/>
              <w:outlineLvl w:val="0"/>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hint="eastAsia" w:ascii="仿宋" w:hAnsi="仿宋" w:eastAsia="仿宋" w:cs="仿宋"/>
                <w:szCs w:val="24"/>
                <w:lang w:eastAsia="zh-CN"/>
              </w:rPr>
            </w:pPr>
            <w:r>
              <w:rPr>
                <w:rFonts w:hint="eastAsia" w:ascii="仿宋" w:hAnsi="仿宋" w:eastAsia="仿宋" w:cs="仿宋"/>
                <w:szCs w:val="24"/>
                <w:lang w:eastAsia="zh-CN"/>
              </w:rPr>
              <w:t>香河县国土资源局</w:t>
            </w:r>
          </w:p>
        </w:tc>
        <w:tc>
          <w:tcPr>
            <w:tcW w:w="1134" w:type="dxa"/>
            <w:shd w:val="clear" w:color="auto" w:fill="auto"/>
            <w:vAlign w:val="center"/>
          </w:tcPr>
          <w:p>
            <w:pPr>
              <w:spacing w:line="300" w:lineRule="exact"/>
              <w:jc w:val="left"/>
              <w:rPr>
                <w:rFonts w:hint="eastAsia" w:ascii="仿宋" w:hAnsi="仿宋" w:eastAsia="仿宋" w:cs="仿宋"/>
                <w:szCs w:val="24"/>
                <w:lang w:eastAsia="zh-CN"/>
              </w:rPr>
            </w:pPr>
            <w:r>
              <w:rPr>
                <w:rFonts w:hint="eastAsia" w:ascii="仿宋" w:hAnsi="仿宋" w:eastAsia="仿宋" w:cs="仿宋"/>
                <w:szCs w:val="24"/>
                <w:lang w:val="en-US" w:eastAsia="zh-CN"/>
              </w:rPr>
              <w:t>行政</w:t>
            </w:r>
            <w:r>
              <w:rPr>
                <w:rFonts w:hint="eastAsia" w:ascii="仿宋" w:hAnsi="仿宋" w:eastAsia="仿宋" w:cs="仿宋"/>
                <w:szCs w:val="24"/>
                <w:lang w:eastAsia="zh-CN"/>
              </w:rPr>
              <w:t>单位</w:t>
            </w:r>
          </w:p>
        </w:tc>
        <w:tc>
          <w:tcPr>
            <w:tcW w:w="1276" w:type="dxa"/>
            <w:shd w:val="clear" w:color="auto" w:fill="auto"/>
            <w:vAlign w:val="center"/>
          </w:tcPr>
          <w:p>
            <w:pPr>
              <w:spacing w:line="300" w:lineRule="exact"/>
              <w:jc w:val="center"/>
              <w:rPr>
                <w:rFonts w:hint="eastAsia" w:ascii="仿宋" w:hAnsi="仿宋" w:eastAsia="仿宋" w:cs="仿宋"/>
                <w:szCs w:val="24"/>
                <w:lang w:eastAsia="zh-CN"/>
              </w:rPr>
            </w:pPr>
            <w:r>
              <w:rPr>
                <w:rFonts w:hint="eastAsia" w:ascii="仿宋" w:hAnsi="仿宋" w:eastAsia="仿宋" w:cs="仿宋"/>
                <w:szCs w:val="24"/>
                <w:lang w:eastAsia="zh-CN"/>
              </w:rPr>
              <w:t>正科级</w:t>
            </w:r>
          </w:p>
        </w:tc>
        <w:tc>
          <w:tcPr>
            <w:tcW w:w="2902" w:type="dxa"/>
            <w:shd w:val="clear" w:color="auto" w:fill="auto"/>
            <w:vAlign w:val="center"/>
          </w:tcPr>
          <w:p>
            <w:pPr>
              <w:spacing w:line="300" w:lineRule="exact"/>
              <w:jc w:val="center"/>
              <w:rPr>
                <w:rFonts w:hint="eastAsia" w:ascii="仿宋" w:hAnsi="仿宋" w:eastAsia="仿宋" w:cs="仿宋"/>
                <w:szCs w:val="24"/>
                <w:lang w:val="en-US" w:eastAsia="zh-CN"/>
              </w:rPr>
            </w:pPr>
            <w:r>
              <w:rPr>
                <w:rFonts w:hint="eastAsia" w:ascii="仿宋" w:hAnsi="仿宋" w:eastAsia="仿宋" w:cs="仿宋"/>
                <w:szCs w:val="24"/>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0"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仿宋" w:hAnsi="仿宋" w:eastAsia="仿宋" w:cs="仿宋"/>
                <w:szCs w:val="24"/>
              </w:rPr>
            </w:pPr>
          </w:p>
        </w:tc>
        <w:tc>
          <w:tcPr>
            <w:tcW w:w="1134" w:type="dxa"/>
            <w:shd w:val="clear" w:color="auto" w:fill="auto"/>
            <w:vAlign w:val="center"/>
          </w:tcPr>
          <w:p>
            <w:pPr>
              <w:spacing w:line="300" w:lineRule="exact"/>
              <w:jc w:val="left"/>
              <w:rPr>
                <w:rFonts w:hint="eastAsia" w:ascii="仿宋" w:hAnsi="仿宋" w:eastAsia="仿宋" w:cs="仿宋"/>
                <w:szCs w:val="24"/>
              </w:rPr>
            </w:pPr>
          </w:p>
        </w:tc>
        <w:tc>
          <w:tcPr>
            <w:tcW w:w="1276" w:type="dxa"/>
            <w:shd w:val="clear" w:color="auto" w:fill="auto"/>
            <w:vAlign w:val="center"/>
          </w:tcPr>
          <w:p>
            <w:pPr>
              <w:spacing w:line="300" w:lineRule="exact"/>
              <w:jc w:val="left"/>
              <w:rPr>
                <w:rFonts w:hint="eastAsia" w:ascii="仿宋" w:hAnsi="仿宋" w:eastAsia="仿宋" w:cs="仿宋"/>
                <w:szCs w:val="24"/>
              </w:rPr>
            </w:pPr>
          </w:p>
        </w:tc>
        <w:tc>
          <w:tcPr>
            <w:tcW w:w="2902" w:type="dxa"/>
            <w:shd w:val="clear" w:color="auto" w:fill="auto"/>
            <w:vAlign w:val="center"/>
          </w:tcPr>
          <w:p>
            <w:pPr>
              <w:spacing w:line="300" w:lineRule="exact"/>
              <w:jc w:val="left"/>
              <w:rPr>
                <w:rFonts w:hint="eastAsia" w:ascii="仿宋" w:hAnsi="仿宋" w:eastAsia="仿宋" w:cs="仿宋"/>
                <w:szCs w:val="24"/>
              </w:rPr>
            </w:pPr>
          </w:p>
        </w:tc>
      </w:tr>
    </w:tbl>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反映本部门当年全部收入。201</w:t>
      </w:r>
      <w:r>
        <w:rPr>
          <w:rFonts w:hint="eastAsia" w:ascii="仿宋" w:hAnsi="仿宋" w:eastAsia="仿宋" w:cs="Times New Roman"/>
          <w:sz w:val="32"/>
          <w:szCs w:val="32"/>
        </w:rPr>
        <w:t>8</w:t>
      </w:r>
      <w:r>
        <w:rPr>
          <w:rFonts w:ascii="仿宋" w:hAnsi="仿宋" w:eastAsia="仿宋" w:cs="Times New Roman"/>
          <w:sz w:val="32"/>
          <w:szCs w:val="32"/>
        </w:rPr>
        <w:t>年预算收入</w:t>
      </w:r>
      <w:r>
        <w:rPr>
          <w:rFonts w:hint="eastAsia" w:ascii="仿宋" w:hAnsi="仿宋" w:eastAsia="仿宋" w:cs="Times New Roman"/>
          <w:sz w:val="32"/>
          <w:szCs w:val="32"/>
        </w:rPr>
        <w:t>总额</w:t>
      </w:r>
      <w:r>
        <w:rPr>
          <w:rFonts w:hint="eastAsia" w:ascii="仿宋" w:hAnsi="仿宋" w:eastAsia="仿宋" w:cs="Times New Roman"/>
          <w:sz w:val="32"/>
          <w:szCs w:val="32"/>
          <w:lang w:val="en-US" w:eastAsia="zh-CN"/>
        </w:rPr>
        <w:t>5679.12</w:t>
      </w:r>
      <w:r>
        <w:rPr>
          <w:rFonts w:ascii="仿宋" w:hAnsi="仿宋" w:eastAsia="仿宋" w:cs="Times New Roman"/>
          <w:sz w:val="32"/>
          <w:szCs w:val="32"/>
        </w:rPr>
        <w:t>万元，其中：</w:t>
      </w:r>
      <w:r>
        <w:rPr>
          <w:rFonts w:hint="eastAsia" w:ascii="仿宋" w:hAnsi="仿宋" w:eastAsia="仿宋" w:cs="Times New Roman"/>
          <w:sz w:val="32"/>
          <w:szCs w:val="32"/>
        </w:rPr>
        <w:t>财政拨款收入</w:t>
      </w:r>
      <w:r>
        <w:rPr>
          <w:rFonts w:hint="eastAsia" w:ascii="仿宋" w:hAnsi="仿宋" w:eastAsia="仿宋" w:cs="Times New Roman"/>
          <w:sz w:val="32"/>
          <w:szCs w:val="32"/>
          <w:lang w:val="en-US" w:eastAsia="zh-CN"/>
        </w:rPr>
        <w:t>5679.12</w:t>
      </w:r>
      <w:r>
        <w:rPr>
          <w:rFonts w:ascii="仿宋" w:hAnsi="仿宋" w:eastAsia="仿宋" w:cs="Times New Roman"/>
          <w:sz w:val="32"/>
          <w:szCs w:val="32"/>
        </w:rPr>
        <w:t>万元</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4679.12</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1000</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）、上级补助收入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、事业收入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、经营收入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、附属单位上缴收入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、其他收入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w:t>
      </w:r>
      <w:r>
        <w:rPr>
          <w:rFonts w:hint="eastAsia" w:ascii="仿宋" w:hAnsi="仿宋" w:eastAsia="仿宋" w:cs="Times New Roman"/>
          <w:sz w:val="32"/>
          <w:szCs w:val="32"/>
          <w:lang w:val="en-US" w:eastAsia="zh-CN"/>
        </w:rPr>
        <w:t>国土资源局</w:t>
      </w:r>
      <w:r>
        <w:rPr>
          <w:rFonts w:ascii="仿宋" w:hAnsi="仿宋" w:eastAsia="仿宋" w:cs="Times New Roman"/>
          <w:sz w:val="32"/>
          <w:szCs w:val="32"/>
        </w:rPr>
        <w:t>年度部门预算中支出预算的总体情况。201</w:t>
      </w:r>
      <w:r>
        <w:rPr>
          <w:rFonts w:hint="eastAsia" w:ascii="仿宋" w:hAnsi="仿宋" w:eastAsia="仿宋" w:cs="Times New Roman"/>
          <w:sz w:val="32"/>
          <w:szCs w:val="32"/>
        </w:rPr>
        <w:t>8</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5679.12</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1793.69</w:t>
      </w:r>
      <w:r>
        <w:rPr>
          <w:rFonts w:ascii="仿宋" w:hAnsi="仿宋" w:eastAsia="仿宋" w:cs="Times New Roman"/>
          <w:sz w:val="32"/>
          <w:szCs w:val="32"/>
        </w:rPr>
        <w:t>万元，包括人员经费</w:t>
      </w:r>
      <w:r>
        <w:rPr>
          <w:rFonts w:hint="eastAsia" w:ascii="仿宋" w:hAnsi="仿宋" w:eastAsia="仿宋" w:cs="Times New Roman"/>
          <w:sz w:val="32"/>
          <w:szCs w:val="32"/>
          <w:lang w:val="en-US" w:eastAsia="zh-CN"/>
        </w:rPr>
        <w:t>1612.3万元</w:t>
      </w:r>
      <w:r>
        <w:rPr>
          <w:rFonts w:ascii="仿宋" w:hAnsi="仿宋" w:eastAsia="仿宋" w:cs="Times New Roman"/>
          <w:sz w:val="32"/>
          <w:szCs w:val="32"/>
        </w:rPr>
        <w:t>和日常公用经费</w:t>
      </w:r>
      <w:r>
        <w:rPr>
          <w:rFonts w:hint="eastAsia" w:ascii="仿宋" w:hAnsi="仿宋" w:eastAsia="仿宋" w:cs="Times New Roman"/>
          <w:sz w:val="32"/>
          <w:szCs w:val="32"/>
          <w:lang w:val="en-US" w:eastAsia="zh-CN"/>
        </w:rPr>
        <w:t>181.39万元</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3885.43</w:t>
      </w:r>
      <w:r>
        <w:rPr>
          <w:rFonts w:ascii="仿宋" w:hAnsi="仿宋" w:eastAsia="仿宋" w:cs="Times New Roman"/>
          <w:sz w:val="32"/>
          <w:szCs w:val="32"/>
        </w:rPr>
        <w:t>万元，包括本级支出</w:t>
      </w:r>
      <w:r>
        <w:rPr>
          <w:rFonts w:hint="eastAsia" w:ascii="仿宋" w:hAnsi="仿宋" w:eastAsia="仿宋" w:cs="Times New Roman"/>
          <w:sz w:val="32"/>
          <w:szCs w:val="32"/>
          <w:lang w:val="en-US" w:eastAsia="zh-CN"/>
        </w:rPr>
        <w:t>3885.43</w:t>
      </w:r>
      <w:r>
        <w:rPr>
          <w:rFonts w:ascii="仿宋" w:hAnsi="仿宋" w:eastAsia="仿宋" w:cs="Times New Roman"/>
          <w:sz w:val="32"/>
          <w:szCs w:val="32"/>
        </w:rPr>
        <w:t>万元和对下补助支出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农村集体土地确权发证工作房屋产权补充调查项目</w:t>
      </w:r>
      <w:r>
        <w:rPr>
          <w:rFonts w:ascii="仿宋" w:hAnsi="仿宋" w:eastAsia="仿宋" w:cs="Times New Roman"/>
          <w:sz w:val="32"/>
          <w:szCs w:val="32"/>
        </w:rPr>
        <w:t>、</w:t>
      </w:r>
      <w:r>
        <w:rPr>
          <w:rFonts w:hint="eastAsia" w:ascii="仿宋" w:hAnsi="仿宋" w:eastAsia="仿宋" w:cs="Times New Roman"/>
          <w:sz w:val="32"/>
          <w:szCs w:val="32"/>
          <w:lang w:val="en-US" w:eastAsia="zh-CN"/>
        </w:rPr>
        <w:t>数字香河地理空间框架建设项目</w:t>
      </w:r>
      <w:r>
        <w:rPr>
          <w:rFonts w:ascii="仿宋" w:hAnsi="仿宋" w:eastAsia="仿宋" w:cs="Times New Roman"/>
          <w:sz w:val="32"/>
          <w:szCs w:val="32"/>
        </w:rPr>
        <w:t>等；上缴上级支出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万元；其他支出</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ascii="仿宋" w:hAnsi="仿宋" w:eastAsia="仿宋" w:cs="Times New Roman"/>
          <w:sz w:val="32"/>
          <w:szCs w:val="32"/>
        </w:rPr>
        <w:t>2018年预算收支安排</w:t>
      </w:r>
      <w:r>
        <w:rPr>
          <w:rFonts w:hint="eastAsia" w:ascii="仿宋" w:hAnsi="仿宋" w:eastAsia="仿宋" w:cs="Times New Roman"/>
          <w:sz w:val="32"/>
          <w:szCs w:val="32"/>
          <w:lang w:val="en-US" w:eastAsia="zh-CN"/>
        </w:rPr>
        <w:t>5679.12</w:t>
      </w:r>
      <w:r>
        <w:rPr>
          <w:rFonts w:ascii="仿宋" w:hAnsi="仿宋" w:eastAsia="仿宋" w:cs="Times New Roman"/>
          <w:sz w:val="32"/>
          <w:szCs w:val="32"/>
        </w:rPr>
        <w:t>万元，较2017年预算</w:t>
      </w:r>
      <w:r>
        <w:rPr>
          <w:rFonts w:hint="eastAsia" w:ascii="仿宋" w:hAnsi="仿宋" w:eastAsia="仿宋" w:cs="Times New Roman"/>
          <w:sz w:val="32"/>
          <w:szCs w:val="32"/>
          <w:highlight w:val="none"/>
          <w:lang w:val="en-US" w:eastAsia="zh-CN"/>
        </w:rPr>
        <w:t>减少</w:t>
      </w:r>
      <w:r>
        <w:rPr>
          <w:rFonts w:hint="eastAsia" w:ascii="仿宋" w:hAnsi="仿宋" w:eastAsia="仿宋" w:cs="Times New Roman"/>
          <w:sz w:val="32"/>
          <w:szCs w:val="32"/>
          <w:lang w:val="en-US" w:eastAsia="zh-CN"/>
        </w:rPr>
        <w:t>41646.19</w:t>
      </w:r>
      <w:r>
        <w:rPr>
          <w:rFonts w:ascii="仿宋" w:hAnsi="仿宋" w:eastAsia="仿宋" w:cs="Times New Roman"/>
          <w:sz w:val="32"/>
          <w:szCs w:val="32"/>
        </w:rPr>
        <w:t>万元，其中：基本支出</w:t>
      </w:r>
      <w:r>
        <w:rPr>
          <w:rFonts w:ascii="仿宋" w:hAnsi="仿宋" w:eastAsia="仿宋" w:cs="Times New Roman"/>
          <w:sz w:val="32"/>
          <w:szCs w:val="32"/>
          <w:highlight w:val="none"/>
        </w:rPr>
        <w:t>增加</w:t>
      </w:r>
      <w:r>
        <w:rPr>
          <w:rFonts w:hint="eastAsia" w:ascii="仿宋" w:hAnsi="仿宋" w:eastAsia="仿宋" w:cs="Times New Roman"/>
          <w:sz w:val="32"/>
          <w:szCs w:val="32"/>
          <w:lang w:val="en-US" w:eastAsia="zh-CN"/>
        </w:rPr>
        <w:t>379.44</w:t>
      </w:r>
      <w:r>
        <w:rPr>
          <w:rFonts w:ascii="仿宋" w:hAnsi="仿宋" w:eastAsia="仿宋" w:cs="Times New Roman"/>
          <w:sz w:val="32"/>
          <w:szCs w:val="32"/>
        </w:rPr>
        <w:t>万元，主要为</w:t>
      </w:r>
      <w:r>
        <w:rPr>
          <w:rFonts w:ascii="仿宋" w:hAnsi="仿宋" w:eastAsia="仿宋" w:cs="Times New Roman"/>
          <w:sz w:val="32"/>
          <w:szCs w:val="32"/>
          <w:highlight w:val="none"/>
        </w:rPr>
        <w:t>增加人员经费支出</w:t>
      </w:r>
      <w:r>
        <w:rPr>
          <w:rFonts w:ascii="仿宋" w:hAnsi="仿宋" w:eastAsia="仿宋" w:cs="Times New Roman"/>
          <w:sz w:val="32"/>
          <w:szCs w:val="32"/>
        </w:rPr>
        <w:t>；项目支出</w:t>
      </w:r>
      <w:r>
        <w:rPr>
          <w:rFonts w:hint="eastAsia" w:ascii="仿宋" w:hAnsi="仿宋" w:eastAsia="仿宋" w:cs="Times New Roman"/>
          <w:sz w:val="32"/>
          <w:szCs w:val="32"/>
          <w:highlight w:val="none"/>
          <w:lang w:val="en-US" w:eastAsia="zh-CN"/>
        </w:rPr>
        <w:t>减少</w:t>
      </w:r>
      <w:r>
        <w:rPr>
          <w:rFonts w:hint="eastAsia" w:ascii="仿宋" w:hAnsi="仿宋" w:eastAsia="仿宋" w:cs="Times New Roman"/>
          <w:sz w:val="32"/>
          <w:szCs w:val="32"/>
          <w:lang w:val="en-US" w:eastAsia="zh-CN"/>
        </w:rPr>
        <w:t>42025.63</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土地开发</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减少</w:t>
      </w:r>
      <w:r>
        <w:rPr>
          <w:rFonts w:ascii="仿宋" w:hAnsi="仿宋" w:eastAsia="仿宋" w:cs="Times New Roman"/>
          <w:sz w:val="32"/>
          <w:szCs w:val="32"/>
        </w:rPr>
        <w:t>。</w:t>
      </w:r>
    </w:p>
    <w:p>
      <w:pPr>
        <w:ind w:firstLine="640"/>
        <w:rPr>
          <w:rFonts w:hint="eastAsia"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ascii="仿宋" w:hAnsi="仿宋" w:eastAsia="仿宋" w:cs="Times New Roman"/>
          <w:sz w:val="32"/>
          <w:szCs w:val="32"/>
        </w:rPr>
        <w:t>2018年机关</w:t>
      </w:r>
      <w:r>
        <w:rPr>
          <w:rFonts w:hint="eastAsia" w:ascii="仿宋" w:hAnsi="仿宋" w:eastAsia="仿宋" w:cs="Times New Roman"/>
          <w:sz w:val="32"/>
          <w:szCs w:val="32"/>
        </w:rPr>
        <w:t>运行经费共计安排</w:t>
      </w:r>
      <w:r>
        <w:rPr>
          <w:rFonts w:hint="eastAsia" w:ascii="仿宋" w:hAnsi="仿宋" w:eastAsia="仿宋" w:cs="Times New Roman"/>
          <w:sz w:val="32"/>
          <w:szCs w:val="32"/>
          <w:lang w:val="en-US" w:eastAsia="zh-CN"/>
        </w:rPr>
        <w:t>181.39</w:t>
      </w:r>
      <w:r>
        <w:rPr>
          <w:rFonts w:hint="eastAsia" w:ascii="仿宋" w:hAnsi="仿宋" w:eastAsia="仿宋" w:cs="Times New Roman"/>
          <w:sz w:val="32"/>
          <w:szCs w:val="32"/>
        </w:rPr>
        <w:t>万元</w:t>
      </w:r>
      <w:r>
        <w:rPr>
          <w:rFonts w:ascii="仿宋" w:hAnsi="仿宋" w:eastAsia="仿宋" w:cs="Times New Roman"/>
          <w:sz w:val="32"/>
          <w:szCs w:val="32"/>
        </w:rPr>
        <w:t>，主要用于办公区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2018年，</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lang w:val="en-US" w:eastAsia="zh-CN"/>
        </w:rPr>
        <w:t>28.74</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w:t>
      </w:r>
      <w:r>
        <w:rPr>
          <w:rFonts w:hint="eastAsia" w:ascii="仿宋" w:hAnsi="仿宋" w:eastAsia="仿宋" w:cs="Times New Roman"/>
          <w:sz w:val="32"/>
          <w:szCs w:val="32"/>
          <w:lang w:val="en-US" w:eastAsia="zh-CN"/>
        </w:rPr>
        <w:t>1.9</w:t>
      </w:r>
      <w:r>
        <w:rPr>
          <w:rFonts w:ascii="仿宋" w:hAnsi="仿宋" w:eastAsia="仿宋" w:cs="Times New Roman"/>
          <w:sz w:val="32"/>
          <w:szCs w:val="32"/>
        </w:rPr>
        <w:t>万元</w:t>
      </w:r>
      <w:r>
        <w:rPr>
          <w:rFonts w:hint="eastAsia" w:ascii="仿宋" w:hAnsi="仿宋" w:eastAsia="仿宋" w:cs="Times New Roman"/>
          <w:sz w:val="32"/>
          <w:szCs w:val="32"/>
        </w:rPr>
        <w:t>、政府性基金预算</w:t>
      </w:r>
      <w:r>
        <w:rPr>
          <w:rFonts w:hint="eastAsia" w:ascii="仿宋" w:hAnsi="仿宋" w:eastAsia="仿宋" w:cs="Times New Roman"/>
          <w:sz w:val="32"/>
          <w:szCs w:val="32"/>
          <w:lang w:val="en-US" w:eastAsia="zh-CN"/>
        </w:rPr>
        <w:t>26.84</w:t>
      </w:r>
      <w:r>
        <w:rPr>
          <w:rFonts w:ascii="仿宋" w:hAnsi="仿宋" w:eastAsia="仿宋" w:cs="Times New Roman"/>
          <w:sz w:val="32"/>
          <w:szCs w:val="32"/>
        </w:rPr>
        <w:t>万元</w:t>
      </w:r>
      <w:r>
        <w:rPr>
          <w:rFonts w:hint="eastAsia" w:ascii="仿宋" w:hAnsi="仿宋" w:eastAsia="仿宋" w:cs="Times New Roman"/>
          <w:sz w:val="32"/>
          <w:szCs w:val="32"/>
        </w:rPr>
        <w:t>、国有资本经营预算</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和财政专户核拨资金</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ascii="仿宋" w:hAnsi="仿宋" w:eastAsia="仿宋" w:cs="Times New Roman"/>
          <w:sz w:val="32"/>
          <w:szCs w:val="32"/>
          <w:highlight w:val="none"/>
        </w:rPr>
        <w:t>持平</w:t>
      </w:r>
      <w:r>
        <w:rPr>
          <w:rFonts w:hint="eastAsia" w:ascii="仿宋" w:hAnsi="仿宋" w:eastAsia="仿宋" w:cs="Times New Roman"/>
          <w:sz w:val="32"/>
          <w:szCs w:val="32"/>
          <w:highlight w:val="none"/>
          <w:lang w:eastAsia="zh-CN"/>
        </w:rPr>
        <w:t>，</w:t>
      </w:r>
      <w:r>
        <w:rPr>
          <w:rFonts w:hint="eastAsia" w:ascii="仿宋" w:hAnsi="仿宋" w:eastAsia="仿宋" w:cs="Times New Roman"/>
          <w:sz w:val="32"/>
          <w:szCs w:val="32"/>
          <w:highlight w:val="none"/>
          <w:lang w:val="en-US" w:eastAsia="zh-CN"/>
        </w:rPr>
        <w:t>无增减变动</w:t>
      </w:r>
      <w:r>
        <w:rPr>
          <w:rFonts w:ascii="仿宋" w:hAnsi="仿宋" w:eastAsia="仿宋" w:cs="Times New Roman"/>
          <w:sz w:val="32"/>
          <w:szCs w:val="32"/>
        </w:rPr>
        <w:t>；公务用车购置及运维费</w:t>
      </w:r>
      <w:r>
        <w:rPr>
          <w:rFonts w:hint="eastAsia" w:ascii="仿宋" w:hAnsi="仿宋" w:eastAsia="仿宋" w:cs="Times New Roman"/>
          <w:sz w:val="32"/>
          <w:szCs w:val="32"/>
          <w:lang w:val="en-US" w:eastAsia="zh-CN"/>
        </w:rPr>
        <w:t>27.8</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万元，公务用车运行费</w:t>
      </w:r>
      <w:r>
        <w:rPr>
          <w:rFonts w:hint="eastAsia" w:ascii="仿宋" w:hAnsi="仿宋" w:eastAsia="仿宋" w:cs="Times New Roman"/>
          <w:sz w:val="32"/>
          <w:szCs w:val="32"/>
          <w:lang w:val="en-US" w:eastAsia="zh-CN"/>
        </w:rPr>
        <w:t>27.8</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ascii="仿宋" w:hAnsi="仿宋" w:eastAsia="仿宋" w:cs="Times New Roman"/>
          <w:sz w:val="32"/>
          <w:szCs w:val="32"/>
          <w:highlight w:val="none"/>
        </w:rPr>
        <w:t>减</w:t>
      </w:r>
      <w:r>
        <w:rPr>
          <w:rFonts w:hint="eastAsia" w:ascii="仿宋" w:hAnsi="仿宋" w:eastAsia="仿宋" w:cs="Times New Roman"/>
          <w:sz w:val="32"/>
          <w:szCs w:val="32"/>
          <w:highlight w:val="none"/>
          <w:lang w:val="en-US" w:eastAsia="zh-CN"/>
        </w:rPr>
        <w:t>少</w:t>
      </w:r>
      <w:r>
        <w:rPr>
          <w:rFonts w:hint="eastAsia" w:ascii="仿宋" w:hAnsi="仿宋" w:eastAsia="仿宋" w:cs="Times New Roman"/>
          <w:sz w:val="32"/>
          <w:szCs w:val="32"/>
          <w:lang w:val="en-US" w:eastAsia="zh-CN"/>
        </w:rPr>
        <w:t>10.76</w:t>
      </w:r>
      <w:r>
        <w:rPr>
          <w:rFonts w:hint="eastAsia" w:ascii="仿宋" w:hAnsi="仿宋" w:eastAsia="仿宋" w:cs="Times New Roman"/>
          <w:sz w:val="32"/>
          <w:szCs w:val="32"/>
        </w:rPr>
        <w:t>万元，主要原因是</w:t>
      </w:r>
      <w:r>
        <w:rPr>
          <w:rFonts w:hint="eastAsia" w:ascii="仿宋" w:hAnsi="仿宋" w:eastAsia="仿宋" w:cs="Times New Roman"/>
          <w:color w:val="auto"/>
          <w:sz w:val="32"/>
          <w:szCs w:val="32"/>
        </w:rPr>
        <w:t>由于公务用车改革，相应减少</w:t>
      </w:r>
      <w:r>
        <w:rPr>
          <w:rFonts w:ascii="仿宋" w:hAnsi="仿宋" w:eastAsia="仿宋" w:cs="Times New Roman"/>
          <w:color w:val="auto"/>
          <w:sz w:val="32"/>
          <w:szCs w:val="32"/>
        </w:rPr>
        <w:t>公务用车运行费</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0.94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ascii="仿宋" w:hAnsi="仿宋" w:eastAsia="仿宋" w:cs="Times New Roman"/>
          <w:sz w:val="32"/>
          <w:szCs w:val="32"/>
          <w:highlight w:val="none"/>
        </w:rPr>
        <w:t>减</w:t>
      </w:r>
      <w:r>
        <w:rPr>
          <w:rFonts w:hint="eastAsia" w:ascii="仿宋" w:hAnsi="仿宋" w:eastAsia="仿宋" w:cs="Times New Roman"/>
          <w:sz w:val="32"/>
          <w:szCs w:val="32"/>
          <w:highlight w:val="none"/>
          <w:lang w:val="en-US" w:eastAsia="zh-CN"/>
        </w:rPr>
        <w:t>少</w:t>
      </w:r>
      <w:r>
        <w:rPr>
          <w:rFonts w:hint="eastAsia" w:ascii="仿宋" w:hAnsi="仿宋" w:eastAsia="仿宋" w:cs="Times New Roman"/>
          <w:sz w:val="32"/>
          <w:szCs w:val="32"/>
          <w:lang w:val="en-US" w:eastAsia="zh-CN"/>
        </w:rPr>
        <w:t>0.77</w:t>
      </w:r>
      <w:r>
        <w:rPr>
          <w:rFonts w:hint="eastAsia" w:ascii="仿宋" w:hAnsi="仿宋" w:eastAsia="仿宋" w:cs="Times New Roman"/>
          <w:sz w:val="32"/>
          <w:szCs w:val="32"/>
        </w:rPr>
        <w:t>万元，主要原因是</w:t>
      </w:r>
      <w:r>
        <w:rPr>
          <w:rFonts w:hint="eastAsia" w:ascii="仿宋" w:hAnsi="仿宋" w:eastAsia="仿宋" w:cs="仿宋"/>
          <w:sz w:val="32"/>
          <w:szCs w:val="32"/>
          <w:highlight w:val="none"/>
        </w:rPr>
        <w:t>由于厉行节约，相应减少公务接待费</w:t>
      </w:r>
      <w:r>
        <w:rPr>
          <w:rFonts w:hint="eastAsia" w:ascii="仿宋" w:hAnsi="仿宋" w:eastAsia="仿宋" w:cs="Times New Roman"/>
          <w:color w:val="auto"/>
          <w:sz w:val="32"/>
          <w:szCs w:val="32"/>
          <w:lang w:eastAsia="zh-CN"/>
        </w:rPr>
        <w:t>。</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autoSpaceDE w:val="0"/>
        <w:autoSpaceDN w:val="0"/>
        <w:adjustRightInd w:val="0"/>
        <w:ind w:left="198" w:firstLine="640" w:firstLineChars="200"/>
        <w:jc w:val="left"/>
        <w:rPr>
          <w:rFonts w:ascii="仿宋" w:hAnsi="仿宋" w:eastAsia="仿宋" w:cs="Times New Roman"/>
          <w:sz w:val="32"/>
          <w:szCs w:val="32"/>
          <w:highlight w:val="red"/>
        </w:rPr>
      </w:pPr>
      <w:r>
        <w:rPr>
          <w:rFonts w:hint="eastAsia" w:ascii="仿宋" w:hAnsi="仿宋" w:eastAsia="仿宋" w:cs="仿宋"/>
          <w:sz w:val="32"/>
          <w:szCs w:val="32"/>
        </w:rPr>
        <w:t>实现基本农田面积不减少，各行业合理用地需求得到保障，及时掌握全县城乡土地变更信息，进一步提高土地节约集约利用水平。实现全县矿产资源开发管理科学合理；加强基础地质工作；管理好重要地质资料；稳步推进矿山地质环境治理攻坚行动；提高地质灾害预警预报能力；掌握地面沉降动态变化数据。执法检查落实在日常，及时发现、制止违法行为，重大专项执法工作按量按质完成，维护群众合法权益。进一步增强国土资源（海洋）管理保障能力。</w:t>
      </w:r>
    </w:p>
    <w:p>
      <w:pPr>
        <w:ind w:firstLine="643" w:firstLineChars="200"/>
        <w:jc w:val="left"/>
        <w:outlineLvl w:val="0"/>
        <w:rPr>
          <w:rFonts w:hint="eastAsia" w:cs="Times New Roman" w:asciiTheme="minorEastAsia" w:hAnsiTheme="minorEastAsia"/>
          <w:b/>
          <w:sz w:val="32"/>
          <w:szCs w:val="32"/>
        </w:rPr>
      </w:pPr>
    </w:p>
    <w:p>
      <w:pPr>
        <w:ind w:firstLine="643" w:firstLineChars="200"/>
        <w:jc w:val="left"/>
        <w:outlineLvl w:val="0"/>
        <w:rPr>
          <w:rFonts w:cs="Times New Roman" w:asciiTheme="minorEastAsia" w:hAnsiTheme="minorEastAsia"/>
          <w:b/>
          <w:sz w:val="32"/>
          <w:szCs w:val="32"/>
        </w:rPr>
      </w:pPr>
      <w:r>
        <w:rPr>
          <w:rFonts w:hint="eastAsia" w:cs="Times New Roman" w:asciiTheme="minorEastAsia" w:hAnsiTheme="minorEastAsia"/>
          <w:b/>
          <w:sz w:val="32"/>
          <w:szCs w:val="32"/>
        </w:rPr>
        <w:t>部门职责及工作活动绩效目标指标：</w:t>
      </w:r>
    </w:p>
    <w:bookmarkEnd w:id="0"/>
    <w:p>
      <w:pPr>
        <w:jc w:val="center"/>
        <w:outlineLvl w:val="0"/>
        <w:rPr>
          <w:rFonts w:hint="eastAsia" w:ascii="方正小标宋_GBK" w:eastAsia="方正小标宋_GBK"/>
          <w:sz w:val="32"/>
        </w:rPr>
      </w:pPr>
      <w:bookmarkStart w:id="1" w:name="_Toc507485612"/>
      <w:r>
        <w:rPr>
          <w:rFonts w:hint="eastAsia" w:ascii="方正小标宋_GBK" w:eastAsia="方正小标宋_GBK"/>
          <w:sz w:val="32"/>
        </w:rPr>
        <w:t>部门职责-工作活动绩效目标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324</w:t>
            </w:r>
            <w:r>
              <w:rPr>
                <w:rFonts w:hint="eastAsia" w:ascii="方正小标宋_GBK" w:eastAsia="方正小标宋_GBK"/>
                <w:sz w:val="24"/>
                <w:lang w:val="en-US" w:eastAsia="zh-CN"/>
              </w:rPr>
              <w:t>香河</w:t>
            </w:r>
            <w:r>
              <w:rPr>
                <w:rFonts w:hint="eastAsia" w:ascii="方正小标宋_GBK" w:eastAsia="方正小标宋_GBK"/>
                <w:sz w:val="24"/>
              </w:rPr>
              <w:t>县国土资源局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一、土地资源管理</w:t>
            </w:r>
          </w:p>
        </w:tc>
        <w:tc>
          <w:tcPr>
            <w:tcW w:w="1276" w:type="dxa"/>
            <w:shd w:val="clear" w:color="auto" w:fill="auto"/>
            <w:vAlign w:val="center"/>
          </w:tcPr>
          <w:p>
            <w:pPr>
              <w:spacing w:line="300" w:lineRule="exact"/>
              <w:jc w:val="left"/>
              <w:rPr>
                <w:rFonts w:ascii="方正书宋_GBK" w:eastAsia="方正书宋_GBK"/>
              </w:rPr>
            </w:pPr>
            <w:bookmarkStart w:id="3" w:name="_GoBack"/>
            <w:bookmarkEnd w:id="3"/>
            <w:r>
              <w:rPr>
                <w:rFonts w:ascii="方正书宋_GBK" w:eastAsia="方正书宋_GBK"/>
              </w:rPr>
              <w:t>1050.63</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组织实施耕地与基本农田保护工作</w:t>
            </w:r>
            <w:r>
              <w:rPr>
                <w:rFonts w:ascii="方正书宋_GBK" w:eastAsia="方正书宋_GBK"/>
              </w:rPr>
              <w:t>,</w:t>
            </w:r>
            <w:r>
              <w:rPr>
                <w:rFonts w:hint="eastAsia" w:ascii="方正书宋_GBK" w:eastAsia="方正书宋_GBK"/>
              </w:rPr>
              <w:t>组织建设用地审批，做好地籍管理工作和土地利用管理工作。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实现基本农田面积不减少，各行业合理用地需求得到保障，及时掌握全县城乡土地变更信息，进一步提高土地节约集约利用水平。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、耕地与基本农田保护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开展全县基本农田保护和土地整理、复垦、开发工作，监测耕地质量等边变化，研究耕地保护相关制度。</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实现全县基本农田面积不减少，确保全县耕地占补平衡，掌握全县耕地质量变化情况。</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总量平衡面积实测率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占补平衡数据准确率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总量平衡数据准确率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耕地质量等别更新与检测完成率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土地复垦方案审查通过率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占补平衡面积实测率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、地籍管理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995.63</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开展农村集体土地确权登记发证与土地变更调查，组织全县的不动产统一登记工作，调查掌握全县耕地后备资源。</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持全县土地变更数据的现势性和连续性，为国土资源各类审批业务提供数据和图件支持；实现农村集体土地确权登记发证和不动产登记业务流程的信息化和规范化；掌握全县耕地后备资源的分布情况，为后续资源的利用奠定基础</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地籍管理完成率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土地变更调查完成率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、土地利用管理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55.00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监测全县地价和土地市场动态，管理和监督城乡建设用地供应、政府土地储备、土地开发和节约集约利用，组织实施城乡建设用地增减挂钩。</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对全县地价和土地市场进行动态监测，为县政府宏观调控和稳定土地市场提供决策依据；掌握评价土地利用现状和节约集约程度，为科学管地用地提供依据。</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评价成果县级汇总与分析更新完成情况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监测分析工作次数</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4</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利用现状掌握率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城乡建设用地增减挂钩工作完成率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二、矿产资源管理与地质环境保护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负责全县矿产资源开发管理，组织实施矿产资源勘查，推动地质灾害防治地质环境恢复治理和地质遗迹保护工作，开展地下水监测和地热、矿泉水管理。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实现全县矿产资源开发管理科学合理；加强基础地质工作；管理好重要地质资料；稳步推进矿山地质环境治理攻坚行动；提高地质灾害预警预报能力；掌握地面沉降动态变化数据。</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、矿产资源开发与保护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组织实施矿业管理工作，矿产资源保护和保护性开采特定矿种的管理事项。</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为矿产开发管理工作和矿业经济分析提供数据基础；保证矿产资源开发利用方案的科学、合理、有效，把好资源开发利用的源头关；推进矿产资源合理勘查，减低勘查投资风险。</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矿产勘查实施方案评审率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矿产开发利用方案通过率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、地质勘查</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组织全县矿产资源调查评价，编制地质勘查规划并监督检查执行情况，管理地质勘查项目，组织实施重大地质勘查项目，管理地质勘查行业和地勘单位资质，组织实施全县找矿突破战略行动</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加强我县基础地质和地质找矿工作，服务地质勘查行业，提高我县经济和社会发展资源保障程度，引导社会资本有序投入地质勘查，推进地质勘查项目管理管能力。</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勘查设计工作量完成率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地勘项目管理和监管工作完成率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、矿产资源储量管理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矿产资源储量评审、登记统计等工作，加强建设项目压覆矿产资源查询和地质成果资料管理工作。强化矿山资源储量动态监测及矿业权监督管理，做好矿山督察，推广先进适用技术，推进矿产资源节约与综合利用。</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矿产资源管理提供储量依据，维护国家矿产资源所有权益，掌控资源储量家底，提供宏观调控依据，为建设项目选址和压覆矿产资源调查提供决策依据，提高矿产资源综合利用能力，保护重要地质资料成果，降低地质工作风险，减少重复工作和资金浪费。</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地质资料管理工作完成率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矿产资源储量管理基础工作完成率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矿产资源勘查和开发利用督察工作完成率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、地质环境保护</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开展全县地质环境综合调查评价</w:t>
            </w:r>
            <w:r>
              <w:rPr>
                <w:rFonts w:ascii="方正书宋_GBK" w:eastAsia="方正书宋_GBK"/>
              </w:rPr>
              <w:t>,</w:t>
            </w:r>
            <w:r>
              <w:rPr>
                <w:rFonts w:hint="eastAsia" w:ascii="方正书宋_GBK" w:eastAsia="方正书宋_GBK"/>
              </w:rPr>
              <w:t>加强矿山地质环境保护工作，开展矿山地质环境调查评价和监测</w:t>
            </w:r>
            <w:r>
              <w:rPr>
                <w:rFonts w:ascii="方正书宋_GBK" w:eastAsia="方正书宋_GBK"/>
              </w:rPr>
              <w:t>,</w:t>
            </w:r>
            <w:r>
              <w:rPr>
                <w:rFonts w:hint="eastAsia" w:ascii="方正书宋_GBK" w:eastAsia="方正书宋_GBK"/>
              </w:rPr>
              <w:t>建立矿山环境动态数据库；监督管理古生物化石、地质遗迹、矿业遗迹、海洋等重要保护区与保护地。</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掌握全县矿山环境动态变化，为矿山环境保护与管理提供基础数据；推进矿山环境治理攻坚行动有序开展；对重要地质遗迹进行有效保护。</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矿山环境整治完成率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地质遗迹保护率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矿山地质环境动态监测率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矿山环境动态数据库建设工作完成率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、地质灾害防治</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组织实施地质灾害的防治工作，建立地质灾害调查评价、监测预警、应急和治理避让体系。</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提高地质灾害预警预报水平；做好汛期地质灾害防治工作，确保人民生命财产安全；为做好地质灾害防治工作提供科学依据。</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风险预警预报率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地质灾害预警预报能力</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隐患点排查核查率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防治方案制定率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、地下水监测与地热、矿泉水管理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开展地下水和地面沉降监测，服务于地下水超采综合治理、地面沉降防治和地下水污染防治。开展地热、浅层地温能和矿泉水资源调查评价、监测与数据库建设。</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掌握年度全县地面沉降动态变化，为地下水压采和地面沉降防治提供基础数据。</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监测数据有效利用率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形成</w:t>
            </w: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地面沉降监测率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地下水监测率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三、海洋资源管理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加强海域使用、海洋环境保护及海洋综合管理工作。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管理全县海岸线，科学合理用海；保护海洋环境，减少入海污染；保护海岛生态系统，合理利用海岛资源，及时掌握海洋经济发展动态。</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、海域使用管理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编制实施海洋功能区划和海岸保护利用规划，开展海域海岸带整治使用修复工作。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做好海域海岸带整治修复工作；监测海岸线和重要河口等空间资源利用情况。</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监视监测海域使用情况信息及时掌握率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海域使用监测率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海域海岸带整治修复工作完成率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、海洋生态环境保护与预报减灾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强化重点海洋环境综合整治和海洋环境监视监测工作，开展海洋防灾减灾与生态保护工作，编制专项环境信息。</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监测与评价海域环境质量现状，全面近岸海域环境质量状况、海洋功能区环境状况、近岸生态系统健康状况和主要入海污染源状况。掌握我所辖海域海洋水文气象状况，为海洋防灾减灾提供技术支撑。</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监测数据合格率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海洋环境监测数据数量完成率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、海岛管理和海洋经济服务</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加强海岛监视监测，保护海岛生态系统，合理开发利用海岛自然资源。开展海洋经济发展研究，做好海洋经济运行监测评估、统计分析和信息发布。</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海岛生态环境不断改善，开发利用秩序日益规范，自然资源开发利用科学合理。海洋经济发展情况掌握及时。</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海洋经济运行监测评估、统计分析和信息发布工作完成率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海岛生态环境保护修复率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海岛监视监测率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海洋经济发展研究工作完成率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四、国土资源执法与监察</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强化全县国土资源执法监察工作</w:t>
            </w:r>
            <w:r>
              <w:rPr>
                <w:rFonts w:ascii="方正书宋_GBK" w:eastAsia="方正书宋_GBK"/>
              </w:rPr>
              <w:t>,</w:t>
            </w:r>
            <w:r>
              <w:rPr>
                <w:rFonts w:hint="eastAsia" w:ascii="方正书宋_GBK" w:eastAsia="方正书宋_GBK"/>
              </w:rPr>
              <w:t>提高国土资源执法能力。</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执法检查落实在日常，及时发现、制止违法行为，重大专项执法工作按量按质完成，维护群众合法权益。</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、国土资源执法监察</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及时发现、制止国土资源违法行为。依法查处案件，推进国土资源基层所标准化建设。</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加强日常执法监管，将违法解决在初始、遏制在萌芽；做好重点执法专项行动，严厉打击违法，维护群众合法权益。</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举报线索处置率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重大典型违法案件调查反馈率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基础性保障项目完成率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专项执法工作完成率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五、国土资源政务管理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1450.00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负责国土资源系统综合业务管理和机关综合事务管理。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进一步增强国土资源（海洋）管理保障能力。</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390.00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制定编制全县国土资源规划，落实相关政策法规，开展国土资源科技发展研究等。</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规范做好国土资源（海洋）各类规划编制和实施，用地计划、用地预审管理，绿色矿山、示范基地建设，全面推行国土资源（海洋）工作依法行政，推动普法工作落实推进国土资源（海洋）科技的应用和推广。</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1060.00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做好国土资源相关综合性事务管理，保证行政工作高效有序运行。</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提高国土资源（海洋）事业发展保障能力。</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bl>
    <w:p>
      <w:pPr>
        <w:ind w:firstLine="640"/>
        <w:rPr>
          <w:rFonts w:hint="eastAsia"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六、政府采购预算情况</w:t>
      </w:r>
    </w:p>
    <w:p>
      <w:pPr>
        <w:jc w:val="left"/>
        <w:outlineLvl w:val="0"/>
        <w:rPr>
          <w:rFonts w:hint="eastAsia" w:ascii="仿宋" w:hAnsi="仿宋" w:eastAsia="仿宋" w:cs="Times New Roman"/>
          <w:sz w:val="32"/>
          <w:szCs w:val="32"/>
        </w:rPr>
      </w:pPr>
      <w:bookmarkStart w:id="2" w:name="_Toc471398468"/>
      <w:r>
        <w:rPr>
          <w:rFonts w:cs="Times New Roman" w:asciiTheme="minorEastAsia" w:hAnsiTheme="minorEastAsia"/>
          <w:sz w:val="32"/>
          <w:szCs w:val="32"/>
        </w:rPr>
        <w:t xml:space="preserve">  </w:t>
      </w:r>
      <w:bookmarkEnd w:id="2"/>
      <w:r>
        <w:rPr>
          <w:rFonts w:hint="eastAsia" w:ascii="仿宋" w:hAnsi="仿宋" w:eastAsia="仿宋" w:cs="Times New Roman"/>
          <w:sz w:val="32"/>
          <w:szCs w:val="32"/>
        </w:rPr>
        <w:t>本年度部门预算共计安排政府采购项目为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万元，其中：货物类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万元，主要包括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物品</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件（台、套）；工程类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万元；服务类</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个，涉及金额</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p>
    <w:p>
      <w:pPr>
        <w:jc w:val="center"/>
        <w:outlineLvl w:val="0"/>
        <w:rPr>
          <w:rFonts w:ascii="宋体" w:hAnsi="宋体"/>
          <w:sz w:val="32"/>
          <w:szCs w:val="24"/>
        </w:rPr>
      </w:pPr>
      <w:r>
        <w:rPr>
          <w:rFonts w:hint="eastAsia" w:ascii="宋体" w:hAnsi="宋体"/>
          <w:sz w:val="32"/>
          <w:szCs w:val="24"/>
        </w:rPr>
        <w:t>部门政府采购预算</w:t>
      </w:r>
    </w:p>
    <w:tbl>
      <w:tblPr>
        <w:tblStyle w:val="7"/>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sz w:val="24"/>
                <w:szCs w:val="24"/>
                <w:lang w:val="en-US" w:eastAsia="zh-CN"/>
              </w:rPr>
            </w:pPr>
            <w:r>
              <w:rPr>
                <w:rFonts w:hint="eastAsia" w:ascii="方正小标宋_GBK" w:hAnsi="Times New Roman" w:eastAsia="方正小标宋_GBK"/>
                <w:sz w:val="24"/>
                <w:szCs w:val="24"/>
                <w:lang w:val="en-US" w:eastAsia="zh-CN"/>
              </w:rPr>
              <w:t>324香河县国土资源局</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widowControl/>
        <w:shd w:val="clear" w:color="auto" w:fill="FFFFFF"/>
        <w:spacing w:line="580" w:lineRule="atLeast"/>
        <w:ind w:firstLine="640"/>
        <w:jc w:val="left"/>
        <w:rPr>
          <w:rFonts w:ascii="仿宋" w:hAnsi="仿宋" w:eastAsia="仿宋" w:cs="Times New Roman"/>
          <w:sz w:val="32"/>
          <w:szCs w:val="32"/>
        </w:rPr>
      </w:pPr>
    </w:p>
    <w:p>
      <w:pPr>
        <w:autoSpaceDE w:val="0"/>
        <w:autoSpaceDN w:val="0"/>
        <w:adjustRightInd w:val="0"/>
        <w:ind w:left="198" w:firstLine="640" w:firstLineChars="200"/>
        <w:jc w:val="left"/>
        <w:rPr>
          <w:rFonts w:hint="eastAsia" w:ascii="黑体" w:hAnsi="黑体" w:eastAsia="黑体" w:cs="Times New Roman"/>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ascii="仿宋" w:hAnsi="仿宋" w:eastAsia="仿宋" w:cs="Times New Roman"/>
          <w:b/>
          <w:sz w:val="32"/>
          <w:szCs w:val="32"/>
          <w:highlight w:val="red"/>
        </w:rPr>
      </w:pPr>
      <w:r>
        <w:rPr>
          <w:rFonts w:hint="eastAsia" w:ascii="仿宋" w:hAnsi="仿宋" w:eastAsia="仿宋" w:cs="Times New Roman"/>
          <w:sz w:val="32"/>
          <w:szCs w:val="32"/>
        </w:rPr>
        <w:t>香河县</w:t>
      </w:r>
      <w:r>
        <w:rPr>
          <w:rFonts w:hint="eastAsia" w:ascii="仿宋" w:hAnsi="仿宋" w:eastAsia="仿宋" w:cs="Times New Roman"/>
          <w:sz w:val="32"/>
          <w:szCs w:val="32"/>
          <w:lang w:val="en-US" w:eastAsia="zh-CN"/>
        </w:rPr>
        <w:t>国土资源局</w:t>
      </w:r>
      <w:r>
        <w:rPr>
          <w:rFonts w:hint="eastAsia" w:ascii="仿宋" w:hAnsi="仿宋" w:eastAsia="仿宋" w:cs="Times New Roman"/>
          <w:sz w:val="32"/>
          <w:szCs w:val="32"/>
        </w:rPr>
        <w:t>（含所属单位）上年末固定资产金额为</w:t>
      </w:r>
      <w:r>
        <w:rPr>
          <w:rFonts w:hint="eastAsia" w:ascii="仿宋" w:hAnsi="仿宋" w:eastAsia="仿宋" w:cs="Times New Roman"/>
          <w:sz w:val="32"/>
          <w:szCs w:val="32"/>
          <w:lang w:val="en-US" w:eastAsia="zh-CN"/>
        </w:rPr>
        <w:t>1011.55</w:t>
      </w:r>
      <w:r>
        <w:rPr>
          <w:rFonts w:hint="eastAsia" w:ascii="仿宋" w:hAnsi="仿宋" w:eastAsia="仿宋" w:cs="Times New Roman"/>
          <w:sz w:val="32"/>
          <w:szCs w:val="32"/>
        </w:rPr>
        <w:t>万元，</w:t>
      </w:r>
      <w:r>
        <w:rPr>
          <w:rFonts w:hint="eastAsia" w:ascii="仿宋" w:hAnsi="仿宋" w:eastAsia="仿宋" w:cs="仿宋"/>
          <w:sz w:val="32"/>
          <w:szCs w:val="32"/>
        </w:rPr>
        <w:t>本年度各单位（处室）</w:t>
      </w:r>
      <w:r>
        <w:rPr>
          <w:rFonts w:hint="eastAsia" w:ascii="仿宋" w:hAnsi="仿宋" w:eastAsia="仿宋" w:cs="仿宋"/>
          <w:sz w:val="32"/>
          <w:szCs w:val="32"/>
          <w:lang w:val="en-US" w:eastAsia="zh-CN"/>
        </w:rPr>
        <w:t>没有</w:t>
      </w:r>
      <w:r>
        <w:rPr>
          <w:rFonts w:hint="eastAsia" w:ascii="仿宋" w:hAnsi="仿宋" w:eastAsia="仿宋" w:cs="仿宋"/>
          <w:sz w:val="32"/>
          <w:szCs w:val="32"/>
        </w:rPr>
        <w:t>拟购置固定资产。</w:t>
      </w:r>
      <w:r>
        <w:rPr>
          <w:rFonts w:hint="eastAsia" w:ascii="仿宋" w:hAnsi="仿宋" w:eastAsia="仿宋" w:cs="Times New Roman"/>
          <w:sz w:val="32"/>
          <w:szCs w:val="32"/>
        </w:rPr>
        <w:t>详见下表。</w:t>
      </w:r>
    </w:p>
    <w:p>
      <w:pPr>
        <w:ind w:firstLine="640"/>
        <w:rPr>
          <w:rFonts w:ascii="仿宋" w:hAnsi="仿宋" w:eastAsia="仿宋" w:cs="Times New Roman"/>
          <w:sz w:val="32"/>
          <w:szCs w:val="32"/>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编制部门：香河县</w:t>
            </w:r>
            <w:r>
              <w:rPr>
                <w:rFonts w:hint="eastAsia" w:ascii="宋体" w:hAnsi="宋体" w:eastAsia="宋体" w:cs="宋体"/>
                <w:kern w:val="0"/>
                <w:sz w:val="22"/>
                <w:lang w:val="en-US" w:eastAsia="zh-CN"/>
              </w:rPr>
              <w:t>国土资源局</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截止时间：2017年12月31日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1011.55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4368.44</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683.24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3694.08</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523.81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38.08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290.23</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0"/>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0"/>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45BB"/>
    <w:rsid w:val="00125FBB"/>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A094E"/>
    <w:rsid w:val="003E1A7F"/>
    <w:rsid w:val="003E23A5"/>
    <w:rsid w:val="003F49E7"/>
    <w:rsid w:val="00415CB8"/>
    <w:rsid w:val="00450F8F"/>
    <w:rsid w:val="00451871"/>
    <w:rsid w:val="00472923"/>
    <w:rsid w:val="00497870"/>
    <w:rsid w:val="004B37C2"/>
    <w:rsid w:val="004E3066"/>
    <w:rsid w:val="004E74CD"/>
    <w:rsid w:val="004F6123"/>
    <w:rsid w:val="00520CEC"/>
    <w:rsid w:val="0056326C"/>
    <w:rsid w:val="005632E5"/>
    <w:rsid w:val="00572603"/>
    <w:rsid w:val="00573562"/>
    <w:rsid w:val="00595C93"/>
    <w:rsid w:val="005C1AEB"/>
    <w:rsid w:val="005C248A"/>
    <w:rsid w:val="005D68FF"/>
    <w:rsid w:val="006009A1"/>
    <w:rsid w:val="00614A29"/>
    <w:rsid w:val="00646686"/>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81692"/>
    <w:rsid w:val="008B3CC5"/>
    <w:rsid w:val="008C2BAF"/>
    <w:rsid w:val="008E4261"/>
    <w:rsid w:val="008F4662"/>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F6B63"/>
    <w:rsid w:val="00B043C4"/>
    <w:rsid w:val="00B20712"/>
    <w:rsid w:val="00B43238"/>
    <w:rsid w:val="00B75216"/>
    <w:rsid w:val="00B91D52"/>
    <w:rsid w:val="00BA1ACD"/>
    <w:rsid w:val="00BA408B"/>
    <w:rsid w:val="00BA6C50"/>
    <w:rsid w:val="00C20230"/>
    <w:rsid w:val="00C21BCB"/>
    <w:rsid w:val="00C24BF5"/>
    <w:rsid w:val="00C720E3"/>
    <w:rsid w:val="00C8569A"/>
    <w:rsid w:val="00CA7176"/>
    <w:rsid w:val="00CD2773"/>
    <w:rsid w:val="00CD326E"/>
    <w:rsid w:val="00CE143B"/>
    <w:rsid w:val="00CE403B"/>
    <w:rsid w:val="00CE5192"/>
    <w:rsid w:val="00CF2D57"/>
    <w:rsid w:val="00D361CD"/>
    <w:rsid w:val="00D80DB8"/>
    <w:rsid w:val="00DA2FDB"/>
    <w:rsid w:val="00DD2E66"/>
    <w:rsid w:val="00E167C7"/>
    <w:rsid w:val="00E84FEB"/>
    <w:rsid w:val="00EC47F6"/>
    <w:rsid w:val="00EE1B43"/>
    <w:rsid w:val="00F153EF"/>
    <w:rsid w:val="00F50E15"/>
    <w:rsid w:val="00F61055"/>
    <w:rsid w:val="00F66032"/>
    <w:rsid w:val="00F71E48"/>
    <w:rsid w:val="00F958C2"/>
    <w:rsid w:val="00FB4CD3"/>
    <w:rsid w:val="00FC6357"/>
    <w:rsid w:val="00FD2081"/>
    <w:rsid w:val="00FE3D85"/>
    <w:rsid w:val="094B686E"/>
    <w:rsid w:val="09873D5D"/>
    <w:rsid w:val="0EAD5C3C"/>
    <w:rsid w:val="115D761B"/>
    <w:rsid w:val="15AD11E4"/>
    <w:rsid w:val="22A711AF"/>
    <w:rsid w:val="2ADB79F5"/>
    <w:rsid w:val="43A9032C"/>
    <w:rsid w:val="45657C8A"/>
    <w:rsid w:val="49B24668"/>
    <w:rsid w:val="55890484"/>
    <w:rsid w:val="58D11623"/>
    <w:rsid w:val="64D912CC"/>
    <w:rsid w:val="65AF72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D847B-333C-49AF-9F24-2CAA01C90906}">
  <ds:schemaRefs/>
</ds:datastoreItem>
</file>

<file path=docProps/app.xml><?xml version="1.0" encoding="utf-8"?>
<Properties xmlns="http://schemas.openxmlformats.org/officeDocument/2006/extended-properties" xmlns:vt="http://schemas.openxmlformats.org/officeDocument/2006/docPropsVTypes">
  <Template>Normal</Template>
  <Pages>8</Pages>
  <Words>410</Words>
  <Characters>2340</Characters>
  <Lines>19</Lines>
  <Paragraphs>5</Paragraphs>
  <TotalTime>8</TotalTime>
  <ScaleCrop>false</ScaleCrop>
  <LinksUpToDate>false</LinksUpToDate>
  <CharactersWithSpaces>2745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lenovo</cp:lastModifiedBy>
  <dcterms:modified xsi:type="dcterms:W3CDTF">2018-03-01T09:47:14Z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